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AA6C92" w14:textId="77777777" w:rsidR="00AD223F" w:rsidRPr="001019D3" w:rsidRDefault="00AD223F" w:rsidP="00AD223F">
      <w:pPr>
        <w:pStyle w:val="isselectedend"/>
        <w:rPr>
          <w:rFonts w:ascii="Century Gothic" w:hAnsi="Century Gothic"/>
          <w:sz w:val="22"/>
          <w:szCs w:val="22"/>
        </w:rPr>
      </w:pPr>
      <w:r w:rsidRPr="001019D3">
        <w:rPr>
          <w:rFonts w:ascii="Century Gothic" w:hAnsi="Century Gothic"/>
          <w:sz w:val="22"/>
          <w:szCs w:val="22"/>
        </w:rPr>
        <w:t>Respected Sir / Madam,</w:t>
      </w:r>
    </w:p>
    <w:p w14:paraId="57A85BDA" w14:textId="77777777" w:rsidR="00AD223F" w:rsidRPr="001019D3" w:rsidRDefault="00AD223F" w:rsidP="00AD223F">
      <w:pPr>
        <w:pStyle w:val="isselectedend"/>
        <w:rPr>
          <w:rFonts w:ascii="Century Gothic" w:hAnsi="Century Gothic"/>
          <w:sz w:val="22"/>
          <w:szCs w:val="22"/>
        </w:rPr>
      </w:pPr>
      <w:r w:rsidRPr="001019D3">
        <w:rPr>
          <w:rFonts w:ascii="Century Gothic" w:hAnsi="Century Gothic"/>
          <w:sz w:val="22"/>
          <w:szCs w:val="22"/>
        </w:rPr>
        <w:t xml:space="preserve">I wish to place on record our concern regarding certain questions in the recent CA Inter Jan 26 examination papers where ambiguity and inconsistency with the Study Material has resulted in genuine confusion among students. </w:t>
      </w:r>
    </w:p>
    <w:p w14:paraId="1C140EB5" w14:textId="70D89741" w:rsidR="00AD223F" w:rsidRPr="001019D3" w:rsidRDefault="00AD223F" w:rsidP="00AD223F">
      <w:pPr>
        <w:pStyle w:val="isselectedend"/>
        <w:rPr>
          <w:rFonts w:ascii="Century Gothic" w:hAnsi="Century Gothic"/>
          <w:sz w:val="22"/>
          <w:szCs w:val="22"/>
        </w:rPr>
      </w:pPr>
      <w:r w:rsidRPr="001019D3">
        <w:rPr>
          <w:rFonts w:ascii="Century Gothic" w:hAnsi="Century Gothic"/>
          <w:sz w:val="22"/>
          <w:szCs w:val="22"/>
        </w:rPr>
        <w:t>We respectfully request ICAI to consider suitable relief in evaluation.</w:t>
      </w:r>
    </w:p>
    <w:p w14:paraId="4884FE49" w14:textId="6D596957" w:rsidR="00AD223F" w:rsidRPr="001019D3" w:rsidRDefault="00AD223F" w:rsidP="00AD223F">
      <w:pPr>
        <w:pStyle w:val="isselectedend"/>
        <w:rPr>
          <w:rFonts w:ascii="Century Gothic" w:hAnsi="Century Gothic"/>
          <w:sz w:val="22"/>
          <w:szCs w:val="22"/>
        </w:rPr>
      </w:pPr>
      <w:r w:rsidRPr="000D2525">
        <w:rPr>
          <w:rStyle w:val="Strong"/>
          <w:rFonts w:ascii="Century Gothic" w:eastAsiaTheme="majorEastAsia" w:hAnsi="Century Gothic"/>
          <w:i/>
          <w:iCs/>
          <w:sz w:val="22"/>
          <w:szCs w:val="22"/>
        </w:rPr>
        <w:t>1. Descriptive Question – Question No. 2 (Adjustments 4 &amp; 5)</w:t>
      </w:r>
      <w:r w:rsidRPr="001019D3">
        <w:rPr>
          <w:rFonts w:ascii="Century Gothic" w:hAnsi="Century Gothic"/>
          <w:sz w:val="22"/>
          <w:szCs w:val="22"/>
        </w:rPr>
        <w:br/>
        <w:t xml:space="preserve">The adjustments required reduction of trade payables and </w:t>
      </w:r>
      <w:r w:rsidR="00924C31" w:rsidRPr="001019D3">
        <w:rPr>
          <w:rFonts w:ascii="Century Gothic" w:hAnsi="Century Gothic"/>
          <w:sz w:val="22"/>
          <w:szCs w:val="22"/>
        </w:rPr>
        <w:t>debenture holders</w:t>
      </w:r>
      <w:r w:rsidRPr="001019D3">
        <w:rPr>
          <w:rFonts w:ascii="Century Gothic" w:hAnsi="Century Gothic"/>
          <w:sz w:val="22"/>
          <w:szCs w:val="22"/>
        </w:rPr>
        <w:t>, and in consideration thereof, issue of equity shares and preference shares.</w:t>
      </w:r>
    </w:p>
    <w:p w14:paraId="311C09C4" w14:textId="77777777" w:rsidR="00AD223F" w:rsidRPr="001019D3" w:rsidRDefault="00AD223F" w:rsidP="00AD223F">
      <w:pPr>
        <w:pStyle w:val="isselectedend"/>
        <w:rPr>
          <w:rFonts w:ascii="Century Gothic" w:hAnsi="Century Gothic"/>
          <w:sz w:val="22"/>
          <w:szCs w:val="22"/>
        </w:rPr>
      </w:pPr>
      <w:r w:rsidRPr="001019D3">
        <w:rPr>
          <w:rFonts w:ascii="Century Gothic" w:hAnsi="Century Gothic"/>
          <w:sz w:val="22"/>
          <w:szCs w:val="22"/>
        </w:rPr>
        <w:t xml:space="preserve">In the Study Material, a similar adjustment has been covered in </w:t>
      </w:r>
      <w:r w:rsidRPr="001019D3">
        <w:rPr>
          <w:rStyle w:val="Strong"/>
          <w:rFonts w:ascii="Century Gothic" w:eastAsiaTheme="majorEastAsia" w:hAnsi="Century Gothic"/>
          <w:b w:val="0"/>
          <w:bCs w:val="0"/>
          <w:sz w:val="22"/>
          <w:szCs w:val="22"/>
        </w:rPr>
        <w:t>Illustration No. 7</w:t>
      </w:r>
      <w:r w:rsidRPr="001019D3">
        <w:rPr>
          <w:rFonts w:ascii="Century Gothic" w:hAnsi="Century Gothic"/>
          <w:sz w:val="22"/>
          <w:szCs w:val="22"/>
        </w:rPr>
        <w:t xml:space="preserve">, where such reduction is treated as a reduction of a </w:t>
      </w:r>
      <w:r w:rsidRPr="001019D3">
        <w:rPr>
          <w:rStyle w:val="Emphasis"/>
          <w:rFonts w:ascii="Century Gothic" w:eastAsiaTheme="majorEastAsia" w:hAnsi="Century Gothic"/>
          <w:i w:val="0"/>
          <w:iCs w:val="0"/>
          <w:sz w:val="22"/>
          <w:szCs w:val="22"/>
        </w:rPr>
        <w:t>specified percentage</w:t>
      </w:r>
      <w:r w:rsidRPr="001019D3">
        <w:rPr>
          <w:rFonts w:ascii="Century Gothic" w:hAnsi="Century Gothic"/>
          <w:sz w:val="22"/>
          <w:szCs w:val="22"/>
        </w:rPr>
        <w:t xml:space="preserve">. However, in the </w:t>
      </w:r>
      <w:r w:rsidRPr="001019D3">
        <w:rPr>
          <w:rStyle w:val="Strong"/>
          <w:rFonts w:ascii="Century Gothic" w:eastAsiaTheme="majorEastAsia" w:hAnsi="Century Gothic"/>
          <w:b w:val="0"/>
          <w:bCs w:val="0"/>
          <w:sz w:val="22"/>
          <w:szCs w:val="22"/>
        </w:rPr>
        <w:t>January 2025 examination – suggested answer</w:t>
      </w:r>
      <w:r w:rsidRPr="001019D3">
        <w:rPr>
          <w:rFonts w:ascii="Century Gothic" w:hAnsi="Century Gothic"/>
          <w:sz w:val="22"/>
          <w:szCs w:val="22"/>
        </w:rPr>
        <w:t xml:space="preserve">, the same adjustment has been treated as a </w:t>
      </w:r>
      <w:r w:rsidRPr="001019D3">
        <w:rPr>
          <w:rStyle w:val="Strong"/>
          <w:rFonts w:ascii="Century Gothic" w:eastAsiaTheme="majorEastAsia" w:hAnsi="Century Gothic"/>
          <w:b w:val="0"/>
          <w:bCs w:val="0"/>
          <w:sz w:val="22"/>
          <w:szCs w:val="22"/>
        </w:rPr>
        <w:t>100% reduction</w:t>
      </w:r>
      <w:r w:rsidRPr="001019D3">
        <w:rPr>
          <w:rFonts w:ascii="Century Gothic" w:hAnsi="Century Gothic"/>
          <w:sz w:val="22"/>
          <w:szCs w:val="22"/>
        </w:rPr>
        <w:t>, without any explicit clarification in the question.</w:t>
      </w:r>
    </w:p>
    <w:p w14:paraId="1BAF767A" w14:textId="77777777" w:rsidR="00AD223F" w:rsidRPr="001019D3" w:rsidRDefault="00AD223F" w:rsidP="00AD223F">
      <w:pPr>
        <w:pStyle w:val="isselectedend"/>
        <w:rPr>
          <w:rFonts w:ascii="Century Gothic" w:hAnsi="Century Gothic"/>
          <w:sz w:val="22"/>
          <w:szCs w:val="22"/>
        </w:rPr>
      </w:pPr>
      <w:r w:rsidRPr="001019D3">
        <w:rPr>
          <w:rFonts w:ascii="Century Gothic" w:hAnsi="Century Gothic"/>
          <w:b/>
          <w:bCs/>
          <w:sz w:val="22"/>
          <w:szCs w:val="22"/>
        </w:rPr>
        <w:t xml:space="preserve">Since the question did not clearly specify whether the reduction was partial or full, both interpretations are reasonable and are supported by ICAI material. </w:t>
      </w:r>
      <w:r w:rsidRPr="001019D3">
        <w:rPr>
          <w:rFonts w:ascii="Century Gothic" w:hAnsi="Century Gothic"/>
          <w:sz w:val="22"/>
          <w:szCs w:val="22"/>
        </w:rPr>
        <w:t xml:space="preserve">We therefore request that </w:t>
      </w:r>
      <w:r w:rsidRPr="001019D3">
        <w:rPr>
          <w:rStyle w:val="Strong"/>
          <w:rFonts w:ascii="Century Gothic" w:eastAsiaTheme="majorEastAsia" w:hAnsi="Century Gothic"/>
          <w:b w:val="0"/>
          <w:bCs w:val="0"/>
          <w:sz w:val="22"/>
          <w:szCs w:val="22"/>
        </w:rPr>
        <w:t>both treatments be accepted as valid assumptions for evaluation purposes</w:t>
      </w:r>
      <w:r w:rsidRPr="001019D3">
        <w:rPr>
          <w:rFonts w:ascii="Century Gothic" w:hAnsi="Century Gothic"/>
          <w:sz w:val="22"/>
          <w:szCs w:val="22"/>
        </w:rPr>
        <w:t>.</w:t>
      </w:r>
    </w:p>
    <w:p w14:paraId="710AEB22" w14:textId="2BBD7404" w:rsidR="00AD223F" w:rsidRPr="001019D3" w:rsidRDefault="00AD223F" w:rsidP="00AD223F">
      <w:pPr>
        <w:pStyle w:val="isselectedend"/>
        <w:rPr>
          <w:rFonts w:ascii="Century Gothic" w:hAnsi="Century Gothic"/>
          <w:b/>
          <w:bCs/>
          <w:sz w:val="22"/>
          <w:szCs w:val="22"/>
        </w:rPr>
      </w:pPr>
      <w:r w:rsidRPr="001019D3">
        <w:rPr>
          <w:rFonts w:ascii="Century Gothic" w:hAnsi="Century Gothic"/>
          <w:b/>
          <w:bCs/>
          <w:sz w:val="22"/>
          <w:szCs w:val="22"/>
        </w:rPr>
        <w:t>MCQ Code ZAN1</w:t>
      </w:r>
    </w:p>
    <w:p w14:paraId="04986357" w14:textId="77777777" w:rsidR="00AD223F" w:rsidRPr="000D2525" w:rsidRDefault="00AD223F" w:rsidP="00AD223F">
      <w:pPr>
        <w:pStyle w:val="isselectedend"/>
        <w:rPr>
          <w:rFonts w:ascii="Century Gothic" w:hAnsi="Century Gothic"/>
          <w:i/>
          <w:iCs/>
          <w:sz w:val="22"/>
          <w:szCs w:val="22"/>
        </w:rPr>
      </w:pPr>
      <w:r w:rsidRPr="000D2525">
        <w:rPr>
          <w:rStyle w:val="Strong"/>
          <w:rFonts w:ascii="Century Gothic" w:eastAsiaTheme="majorEastAsia" w:hAnsi="Century Gothic"/>
          <w:i/>
          <w:iCs/>
          <w:sz w:val="22"/>
          <w:szCs w:val="22"/>
        </w:rPr>
        <w:t>2. MCQ Case Study – P Limited (Question 8)</w:t>
      </w:r>
      <w:r w:rsidRPr="000D2525">
        <w:rPr>
          <w:rFonts w:ascii="Century Gothic" w:hAnsi="Century Gothic"/>
          <w:i/>
          <w:iCs/>
          <w:sz w:val="22"/>
          <w:szCs w:val="22"/>
        </w:rPr>
        <w:br/>
      </w:r>
    </w:p>
    <w:p w14:paraId="3560EABB" w14:textId="0833403C" w:rsidR="00AD223F" w:rsidRPr="001019D3" w:rsidRDefault="00AD223F" w:rsidP="00AD223F">
      <w:pPr>
        <w:pStyle w:val="isselectedend"/>
        <w:rPr>
          <w:rFonts w:ascii="Century Gothic" w:hAnsi="Century Gothic"/>
          <w:sz w:val="22"/>
          <w:szCs w:val="22"/>
        </w:rPr>
      </w:pPr>
      <w:r w:rsidRPr="001019D3">
        <w:rPr>
          <w:rFonts w:ascii="Century Gothic" w:hAnsi="Century Gothic"/>
          <w:sz w:val="22"/>
          <w:szCs w:val="22"/>
        </w:rPr>
        <w:t xml:space="preserve">In the given case, the facts (likely to lose the case – dictionary definition of likely is probable) indicate that the likelihood of outflow is </w:t>
      </w:r>
      <w:r w:rsidRPr="001019D3">
        <w:rPr>
          <w:rStyle w:val="Strong"/>
          <w:rFonts w:ascii="Century Gothic" w:eastAsiaTheme="majorEastAsia" w:hAnsi="Century Gothic"/>
          <w:b w:val="0"/>
          <w:bCs w:val="0"/>
          <w:sz w:val="22"/>
          <w:szCs w:val="22"/>
        </w:rPr>
        <w:t>more than 50%</w:t>
      </w:r>
      <w:r w:rsidRPr="001019D3">
        <w:rPr>
          <w:rFonts w:ascii="Century Gothic" w:hAnsi="Century Gothic"/>
          <w:sz w:val="22"/>
          <w:szCs w:val="22"/>
        </w:rPr>
        <w:t xml:space="preserve">, which meets the recognition criteria for a provision. Accordingly, a provision for the </w:t>
      </w:r>
      <w:r w:rsidRPr="001019D3">
        <w:rPr>
          <w:rStyle w:val="Strong"/>
          <w:rFonts w:ascii="Century Gothic" w:eastAsiaTheme="majorEastAsia" w:hAnsi="Century Gothic"/>
          <w:b w:val="0"/>
          <w:bCs w:val="0"/>
          <w:sz w:val="22"/>
          <w:szCs w:val="22"/>
        </w:rPr>
        <w:t xml:space="preserve">entire amount of </w:t>
      </w:r>
      <w:r w:rsidRPr="001019D3">
        <w:rPr>
          <w:rStyle w:val="Strong"/>
          <w:rFonts w:ascii="Arial" w:eastAsiaTheme="majorEastAsia" w:hAnsi="Arial" w:cs="Arial"/>
          <w:b w:val="0"/>
          <w:bCs w:val="0"/>
          <w:sz w:val="22"/>
          <w:szCs w:val="22"/>
        </w:rPr>
        <w:t>₹</w:t>
      </w:r>
      <w:r w:rsidRPr="001019D3">
        <w:rPr>
          <w:rStyle w:val="Strong"/>
          <w:rFonts w:ascii="Century Gothic" w:eastAsiaTheme="majorEastAsia" w:hAnsi="Century Gothic"/>
          <w:b w:val="0"/>
          <w:bCs w:val="0"/>
          <w:sz w:val="22"/>
          <w:szCs w:val="22"/>
        </w:rPr>
        <w:t>10,75,000</w:t>
      </w:r>
      <w:r w:rsidRPr="001019D3">
        <w:rPr>
          <w:rFonts w:ascii="Century Gothic" w:hAnsi="Century Gothic"/>
          <w:sz w:val="22"/>
          <w:szCs w:val="22"/>
        </w:rPr>
        <w:t xml:space="preserve"> should be recognised. </w:t>
      </w:r>
      <w:r w:rsidRPr="001019D3">
        <w:rPr>
          <w:rFonts w:ascii="Century Gothic" w:hAnsi="Century Gothic"/>
          <w:sz w:val="22"/>
          <w:szCs w:val="22"/>
        </w:rPr>
        <w:br/>
        <w:t xml:space="preserve">For similar question, the study material considers </w:t>
      </w:r>
      <w:r w:rsidRPr="001019D3">
        <w:rPr>
          <w:rStyle w:val="Strong"/>
          <w:rFonts w:ascii="Arial" w:eastAsiaTheme="majorEastAsia" w:hAnsi="Arial" w:cs="Arial"/>
          <w:sz w:val="22"/>
          <w:szCs w:val="22"/>
        </w:rPr>
        <w:t>₹</w:t>
      </w:r>
      <w:r w:rsidRPr="001019D3">
        <w:rPr>
          <w:rStyle w:val="Strong"/>
          <w:rFonts w:ascii="Century Gothic" w:eastAsiaTheme="majorEastAsia" w:hAnsi="Century Gothic"/>
          <w:sz w:val="22"/>
          <w:szCs w:val="22"/>
        </w:rPr>
        <w:t xml:space="preserve">10,00,000 has a contingent liability. It could be assumed either ways and hence both options should be considered correct. </w:t>
      </w:r>
    </w:p>
    <w:p w14:paraId="1508A557" w14:textId="7CF02B5B" w:rsidR="00AD223F" w:rsidRPr="001019D3" w:rsidRDefault="00AD223F" w:rsidP="00AD223F">
      <w:pPr>
        <w:pStyle w:val="isselectedend"/>
        <w:rPr>
          <w:rFonts w:ascii="Century Gothic" w:hAnsi="Century Gothic"/>
          <w:sz w:val="22"/>
          <w:szCs w:val="22"/>
        </w:rPr>
      </w:pPr>
      <w:r w:rsidRPr="000D2525">
        <w:rPr>
          <w:rStyle w:val="Strong"/>
          <w:rFonts w:ascii="Century Gothic" w:eastAsiaTheme="majorEastAsia" w:hAnsi="Century Gothic"/>
          <w:i/>
          <w:iCs/>
          <w:sz w:val="22"/>
          <w:szCs w:val="22"/>
        </w:rPr>
        <w:t>3. MCQ Case Study – V Limited (Construction Contract Question 13)</w:t>
      </w:r>
      <w:r w:rsidRPr="001019D3">
        <w:rPr>
          <w:rFonts w:ascii="Century Gothic" w:hAnsi="Century Gothic"/>
          <w:sz w:val="22"/>
          <w:szCs w:val="22"/>
        </w:rPr>
        <w:br/>
        <w:t xml:space="preserve">If we compute based on the facts of question, </w:t>
      </w:r>
    </w:p>
    <w:p w14:paraId="07BBAA6A" w14:textId="45DE6400" w:rsidR="00AD223F" w:rsidRPr="001019D3" w:rsidRDefault="00AD223F" w:rsidP="00AD223F">
      <w:pPr>
        <w:pStyle w:val="isselectedend"/>
        <w:numPr>
          <w:ilvl w:val="0"/>
          <w:numId w:val="1"/>
        </w:numPr>
        <w:rPr>
          <w:rFonts w:ascii="Century Gothic" w:hAnsi="Century Gothic"/>
          <w:sz w:val="22"/>
          <w:szCs w:val="22"/>
        </w:rPr>
      </w:pPr>
      <w:r w:rsidRPr="001019D3">
        <w:rPr>
          <w:rFonts w:ascii="Century Gothic" w:hAnsi="Century Gothic"/>
          <w:sz w:val="22"/>
          <w:szCs w:val="22"/>
        </w:rPr>
        <w:t xml:space="preserve">Total expected loss on the contract = </w:t>
      </w:r>
      <w:r w:rsidRPr="001019D3">
        <w:rPr>
          <w:rFonts w:ascii="Arial" w:hAnsi="Arial" w:cs="Arial"/>
          <w:sz w:val="22"/>
          <w:szCs w:val="22"/>
        </w:rPr>
        <w:t>₹</w:t>
      </w:r>
      <w:r w:rsidRPr="001019D3">
        <w:rPr>
          <w:rFonts w:ascii="Century Gothic" w:hAnsi="Century Gothic"/>
          <w:sz w:val="22"/>
          <w:szCs w:val="22"/>
        </w:rPr>
        <w:t>16 lakhs</w:t>
      </w:r>
    </w:p>
    <w:p w14:paraId="458553A3" w14:textId="0A0C680D" w:rsidR="00AD223F" w:rsidRPr="001019D3" w:rsidRDefault="00AD223F" w:rsidP="00AD223F">
      <w:pPr>
        <w:pStyle w:val="isselectedend"/>
        <w:numPr>
          <w:ilvl w:val="0"/>
          <w:numId w:val="1"/>
        </w:numPr>
        <w:rPr>
          <w:rFonts w:ascii="Century Gothic" w:hAnsi="Century Gothic"/>
          <w:sz w:val="22"/>
          <w:szCs w:val="22"/>
        </w:rPr>
      </w:pPr>
      <w:r w:rsidRPr="001019D3">
        <w:rPr>
          <w:rFonts w:ascii="Century Gothic" w:hAnsi="Century Gothic"/>
          <w:sz w:val="22"/>
          <w:szCs w:val="22"/>
        </w:rPr>
        <w:t xml:space="preserve">Revenue recognised up to 31 March 2025 = </w:t>
      </w:r>
      <w:r w:rsidRPr="001019D3">
        <w:rPr>
          <w:rFonts w:ascii="Arial" w:hAnsi="Arial" w:cs="Arial"/>
          <w:sz w:val="22"/>
          <w:szCs w:val="22"/>
        </w:rPr>
        <w:t>₹</w:t>
      </w:r>
      <w:r w:rsidRPr="001019D3">
        <w:rPr>
          <w:rFonts w:ascii="Century Gothic" w:hAnsi="Century Gothic"/>
          <w:sz w:val="22"/>
          <w:szCs w:val="22"/>
        </w:rPr>
        <w:t xml:space="preserve">56 lakhs </w:t>
      </w:r>
    </w:p>
    <w:p w14:paraId="26E677B9" w14:textId="77777777" w:rsidR="00AD223F" w:rsidRPr="001019D3" w:rsidRDefault="00AD223F" w:rsidP="00AD223F">
      <w:pPr>
        <w:pStyle w:val="isselectedend"/>
        <w:numPr>
          <w:ilvl w:val="0"/>
          <w:numId w:val="1"/>
        </w:numPr>
        <w:rPr>
          <w:rFonts w:ascii="Century Gothic" w:hAnsi="Century Gothic"/>
          <w:sz w:val="22"/>
          <w:szCs w:val="22"/>
        </w:rPr>
      </w:pPr>
      <w:r w:rsidRPr="001019D3">
        <w:rPr>
          <w:rFonts w:ascii="Century Gothic" w:hAnsi="Century Gothic"/>
          <w:sz w:val="22"/>
          <w:szCs w:val="22"/>
        </w:rPr>
        <w:t xml:space="preserve">Costs incurred up to date = </w:t>
      </w:r>
      <w:r w:rsidRPr="001019D3">
        <w:rPr>
          <w:rFonts w:ascii="Arial" w:hAnsi="Arial" w:cs="Arial"/>
          <w:sz w:val="22"/>
          <w:szCs w:val="22"/>
        </w:rPr>
        <w:t>₹</w:t>
      </w:r>
      <w:r w:rsidRPr="001019D3">
        <w:rPr>
          <w:rFonts w:ascii="Century Gothic" w:hAnsi="Century Gothic"/>
          <w:sz w:val="22"/>
          <w:szCs w:val="22"/>
        </w:rPr>
        <w:t>60 lakhs</w:t>
      </w:r>
    </w:p>
    <w:p w14:paraId="728BB012" w14:textId="77777777" w:rsidR="00AD223F" w:rsidRPr="001019D3" w:rsidRDefault="00AD223F" w:rsidP="00AD223F">
      <w:pPr>
        <w:pStyle w:val="isselectedend"/>
        <w:rPr>
          <w:rFonts w:ascii="Century Gothic" w:hAnsi="Century Gothic"/>
          <w:sz w:val="22"/>
          <w:szCs w:val="22"/>
        </w:rPr>
      </w:pPr>
      <w:r w:rsidRPr="001019D3">
        <w:rPr>
          <w:rFonts w:ascii="Century Gothic" w:hAnsi="Century Gothic"/>
          <w:b/>
          <w:bCs/>
          <w:sz w:val="22"/>
          <w:szCs w:val="22"/>
        </w:rPr>
        <w:t xml:space="preserve">This results in a </w:t>
      </w:r>
      <w:r w:rsidRPr="001019D3">
        <w:rPr>
          <w:rStyle w:val="Strong"/>
          <w:rFonts w:ascii="Century Gothic" w:eastAsiaTheme="majorEastAsia" w:hAnsi="Century Gothic"/>
          <w:b w:val="0"/>
          <w:bCs w:val="0"/>
          <w:sz w:val="22"/>
          <w:szCs w:val="22"/>
        </w:rPr>
        <w:t xml:space="preserve">current year loss of </w:t>
      </w:r>
      <w:r w:rsidRPr="001019D3">
        <w:rPr>
          <w:rStyle w:val="Strong"/>
          <w:rFonts w:ascii="Arial" w:eastAsiaTheme="majorEastAsia" w:hAnsi="Arial" w:cs="Arial"/>
          <w:b w:val="0"/>
          <w:bCs w:val="0"/>
          <w:sz w:val="22"/>
          <w:szCs w:val="22"/>
        </w:rPr>
        <w:t>₹</w:t>
      </w:r>
      <w:r w:rsidRPr="001019D3">
        <w:rPr>
          <w:rStyle w:val="Strong"/>
          <w:rFonts w:ascii="Century Gothic" w:eastAsiaTheme="majorEastAsia" w:hAnsi="Century Gothic"/>
          <w:b w:val="0"/>
          <w:bCs w:val="0"/>
          <w:sz w:val="22"/>
          <w:szCs w:val="22"/>
        </w:rPr>
        <w:t>4 lakhs</w:t>
      </w:r>
      <w:r w:rsidRPr="001019D3">
        <w:rPr>
          <w:rFonts w:ascii="Century Gothic" w:hAnsi="Century Gothic"/>
          <w:b/>
          <w:bCs/>
          <w:sz w:val="22"/>
          <w:szCs w:val="22"/>
        </w:rPr>
        <w:t xml:space="preserve">. Therefore, the additional provision required should be </w:t>
      </w:r>
      <w:r w:rsidRPr="001019D3">
        <w:rPr>
          <w:rStyle w:val="Strong"/>
          <w:rFonts w:ascii="Arial" w:eastAsiaTheme="majorEastAsia" w:hAnsi="Arial" w:cs="Arial"/>
          <w:b w:val="0"/>
          <w:bCs w:val="0"/>
          <w:sz w:val="22"/>
          <w:szCs w:val="22"/>
        </w:rPr>
        <w:t>₹</w:t>
      </w:r>
      <w:r w:rsidRPr="001019D3">
        <w:rPr>
          <w:rStyle w:val="Strong"/>
          <w:rFonts w:ascii="Century Gothic" w:eastAsiaTheme="majorEastAsia" w:hAnsi="Century Gothic"/>
          <w:b w:val="0"/>
          <w:bCs w:val="0"/>
          <w:sz w:val="22"/>
          <w:szCs w:val="22"/>
        </w:rPr>
        <w:t>12 lakhs</w:t>
      </w:r>
      <w:r w:rsidRPr="001019D3">
        <w:rPr>
          <w:rFonts w:ascii="Century Gothic" w:hAnsi="Century Gothic"/>
          <w:sz w:val="22"/>
          <w:szCs w:val="22"/>
        </w:rPr>
        <w:t xml:space="preserve">, so that total expenses become </w:t>
      </w:r>
      <w:r w:rsidRPr="001019D3">
        <w:rPr>
          <w:rFonts w:ascii="Arial" w:hAnsi="Arial" w:cs="Arial"/>
          <w:sz w:val="22"/>
          <w:szCs w:val="22"/>
        </w:rPr>
        <w:t>₹</w:t>
      </w:r>
      <w:r w:rsidRPr="001019D3">
        <w:rPr>
          <w:rFonts w:ascii="Century Gothic" w:hAnsi="Century Gothic"/>
          <w:sz w:val="22"/>
          <w:szCs w:val="22"/>
        </w:rPr>
        <w:t xml:space="preserve">72 lakhs, aligning total loss with the expected loss of </w:t>
      </w:r>
      <w:r w:rsidRPr="001019D3">
        <w:rPr>
          <w:rFonts w:ascii="Arial" w:hAnsi="Arial" w:cs="Arial"/>
          <w:sz w:val="22"/>
          <w:szCs w:val="22"/>
        </w:rPr>
        <w:t>₹</w:t>
      </w:r>
      <w:r w:rsidRPr="001019D3">
        <w:rPr>
          <w:rFonts w:ascii="Century Gothic" w:hAnsi="Century Gothic"/>
          <w:sz w:val="22"/>
          <w:szCs w:val="22"/>
        </w:rPr>
        <w:t xml:space="preserve">16 lakhs. This treatment is fully consistent with </w:t>
      </w:r>
      <w:r w:rsidRPr="001019D3">
        <w:rPr>
          <w:rStyle w:val="Strong"/>
          <w:rFonts w:ascii="Century Gothic" w:eastAsiaTheme="majorEastAsia" w:hAnsi="Century Gothic"/>
          <w:b w:val="0"/>
          <w:bCs w:val="0"/>
          <w:sz w:val="22"/>
          <w:szCs w:val="22"/>
        </w:rPr>
        <w:t>Illustrations 5 and 7 of the Study Material</w:t>
      </w:r>
      <w:r w:rsidRPr="001019D3">
        <w:rPr>
          <w:rFonts w:ascii="Century Gothic" w:hAnsi="Century Gothic"/>
          <w:sz w:val="22"/>
          <w:szCs w:val="22"/>
        </w:rPr>
        <w:t>.</w:t>
      </w:r>
    </w:p>
    <w:p w14:paraId="22C52D4D" w14:textId="77777777" w:rsidR="00010B15" w:rsidRPr="001019D3" w:rsidRDefault="00010B15" w:rsidP="00010B15">
      <w:pPr>
        <w:pStyle w:val="isselectedend"/>
        <w:rPr>
          <w:rFonts w:ascii="Century Gothic" w:hAnsi="Century Gothic"/>
          <w:sz w:val="22"/>
          <w:szCs w:val="22"/>
        </w:rPr>
      </w:pPr>
      <w:r w:rsidRPr="001019D3">
        <w:rPr>
          <w:rFonts w:ascii="Century Gothic" w:hAnsi="Century Gothic"/>
          <w:sz w:val="22"/>
          <w:szCs w:val="22"/>
        </w:rPr>
        <w:t xml:space="preserve">Summary </w:t>
      </w:r>
    </w:p>
    <w:tbl>
      <w:tblPr>
        <w:tblStyle w:val="TableGrid"/>
        <w:tblW w:w="0" w:type="auto"/>
        <w:tblLook w:val="04A0" w:firstRow="1" w:lastRow="0" w:firstColumn="1" w:lastColumn="0" w:noHBand="0" w:noVBand="1"/>
      </w:tblPr>
      <w:tblGrid>
        <w:gridCol w:w="2348"/>
        <w:gridCol w:w="1384"/>
        <w:gridCol w:w="2235"/>
        <w:gridCol w:w="2059"/>
      </w:tblGrid>
      <w:tr w:rsidR="00010B15" w:rsidRPr="001019D3" w14:paraId="54CB91CC" w14:textId="77777777" w:rsidTr="00010B15">
        <w:tc>
          <w:tcPr>
            <w:tcW w:w="2348" w:type="dxa"/>
          </w:tcPr>
          <w:p w14:paraId="01679986" w14:textId="77777777" w:rsidR="00010B15" w:rsidRPr="001019D3" w:rsidRDefault="00010B15" w:rsidP="00CB4676">
            <w:pPr>
              <w:pStyle w:val="isselectedend"/>
              <w:rPr>
                <w:rFonts w:ascii="Century Gothic" w:hAnsi="Century Gothic"/>
                <w:sz w:val="22"/>
                <w:szCs w:val="22"/>
              </w:rPr>
            </w:pPr>
            <w:r w:rsidRPr="001019D3">
              <w:rPr>
                <w:rFonts w:ascii="Century Gothic" w:hAnsi="Century Gothic"/>
                <w:sz w:val="22"/>
                <w:szCs w:val="22"/>
              </w:rPr>
              <w:t>Particulars</w:t>
            </w:r>
          </w:p>
        </w:tc>
        <w:tc>
          <w:tcPr>
            <w:tcW w:w="1329" w:type="dxa"/>
          </w:tcPr>
          <w:p w14:paraId="7E796625" w14:textId="77777777" w:rsidR="00010B15" w:rsidRPr="001019D3" w:rsidRDefault="00010B15" w:rsidP="00CB4676">
            <w:pPr>
              <w:pStyle w:val="isselectedend"/>
              <w:rPr>
                <w:rFonts w:ascii="Century Gothic" w:hAnsi="Century Gothic"/>
                <w:sz w:val="22"/>
                <w:szCs w:val="22"/>
              </w:rPr>
            </w:pPr>
            <w:r w:rsidRPr="001019D3">
              <w:rPr>
                <w:rFonts w:ascii="Century Gothic" w:hAnsi="Century Gothic"/>
                <w:sz w:val="22"/>
                <w:szCs w:val="22"/>
              </w:rPr>
              <w:t>31/03/2025</w:t>
            </w:r>
          </w:p>
        </w:tc>
        <w:tc>
          <w:tcPr>
            <w:tcW w:w="2235" w:type="dxa"/>
          </w:tcPr>
          <w:p w14:paraId="125089B0" w14:textId="77777777" w:rsidR="00010B15" w:rsidRPr="001019D3" w:rsidRDefault="00010B15" w:rsidP="00CB4676">
            <w:pPr>
              <w:pStyle w:val="isselectedend"/>
              <w:rPr>
                <w:rFonts w:ascii="Century Gothic" w:hAnsi="Century Gothic"/>
                <w:sz w:val="22"/>
                <w:szCs w:val="22"/>
              </w:rPr>
            </w:pPr>
            <w:r w:rsidRPr="001019D3">
              <w:rPr>
                <w:rFonts w:ascii="Century Gothic" w:hAnsi="Century Gothic"/>
                <w:sz w:val="22"/>
                <w:szCs w:val="22"/>
              </w:rPr>
              <w:t>Future</w:t>
            </w:r>
          </w:p>
        </w:tc>
        <w:tc>
          <w:tcPr>
            <w:tcW w:w="2059" w:type="dxa"/>
          </w:tcPr>
          <w:p w14:paraId="36BEE7B3" w14:textId="77777777" w:rsidR="00010B15" w:rsidRPr="001019D3" w:rsidRDefault="00010B15" w:rsidP="00CB4676">
            <w:pPr>
              <w:pStyle w:val="isselectedend"/>
              <w:rPr>
                <w:rFonts w:ascii="Century Gothic" w:hAnsi="Century Gothic"/>
                <w:sz w:val="22"/>
                <w:szCs w:val="22"/>
              </w:rPr>
            </w:pPr>
            <w:r w:rsidRPr="001019D3">
              <w:rPr>
                <w:rFonts w:ascii="Century Gothic" w:hAnsi="Century Gothic"/>
                <w:sz w:val="22"/>
                <w:szCs w:val="22"/>
              </w:rPr>
              <w:t>Total</w:t>
            </w:r>
          </w:p>
        </w:tc>
      </w:tr>
      <w:tr w:rsidR="00010B15" w:rsidRPr="001019D3" w14:paraId="0FEA49FB" w14:textId="77777777" w:rsidTr="00010B15">
        <w:tc>
          <w:tcPr>
            <w:tcW w:w="2348" w:type="dxa"/>
          </w:tcPr>
          <w:p w14:paraId="20A51BCC" w14:textId="77777777" w:rsidR="00010B15" w:rsidRPr="001019D3" w:rsidRDefault="00010B15" w:rsidP="00CB4676">
            <w:pPr>
              <w:pStyle w:val="isselectedend"/>
              <w:rPr>
                <w:rFonts w:ascii="Century Gothic" w:hAnsi="Century Gothic"/>
                <w:sz w:val="22"/>
                <w:szCs w:val="22"/>
              </w:rPr>
            </w:pPr>
            <w:r w:rsidRPr="001019D3">
              <w:rPr>
                <w:rFonts w:ascii="Century Gothic" w:hAnsi="Century Gothic"/>
                <w:sz w:val="22"/>
                <w:szCs w:val="22"/>
              </w:rPr>
              <w:t>Revenue</w:t>
            </w:r>
          </w:p>
        </w:tc>
        <w:tc>
          <w:tcPr>
            <w:tcW w:w="1329" w:type="dxa"/>
          </w:tcPr>
          <w:p w14:paraId="79282F08" w14:textId="77777777" w:rsidR="00010B15" w:rsidRPr="001019D3" w:rsidRDefault="00010B15" w:rsidP="00CB4676">
            <w:pPr>
              <w:pStyle w:val="isselectedend"/>
              <w:rPr>
                <w:rFonts w:ascii="Century Gothic" w:hAnsi="Century Gothic"/>
                <w:sz w:val="22"/>
                <w:szCs w:val="22"/>
              </w:rPr>
            </w:pPr>
            <w:r w:rsidRPr="001019D3">
              <w:rPr>
                <w:rFonts w:ascii="Century Gothic" w:hAnsi="Century Gothic"/>
                <w:sz w:val="22"/>
                <w:szCs w:val="22"/>
              </w:rPr>
              <w:t>56</w:t>
            </w:r>
          </w:p>
        </w:tc>
        <w:tc>
          <w:tcPr>
            <w:tcW w:w="2235" w:type="dxa"/>
          </w:tcPr>
          <w:p w14:paraId="15A14284" w14:textId="77777777" w:rsidR="00010B15" w:rsidRPr="001019D3" w:rsidRDefault="00010B15" w:rsidP="00CB4676">
            <w:pPr>
              <w:pStyle w:val="isselectedend"/>
              <w:rPr>
                <w:rFonts w:ascii="Century Gothic" w:hAnsi="Century Gothic"/>
                <w:sz w:val="22"/>
                <w:szCs w:val="22"/>
              </w:rPr>
            </w:pPr>
            <w:r w:rsidRPr="001019D3">
              <w:rPr>
                <w:rFonts w:ascii="Century Gothic" w:hAnsi="Century Gothic"/>
                <w:sz w:val="22"/>
                <w:szCs w:val="22"/>
              </w:rPr>
              <w:t>168</w:t>
            </w:r>
          </w:p>
        </w:tc>
        <w:tc>
          <w:tcPr>
            <w:tcW w:w="2059" w:type="dxa"/>
          </w:tcPr>
          <w:p w14:paraId="66817820" w14:textId="77777777" w:rsidR="00010B15" w:rsidRPr="001019D3" w:rsidRDefault="00010B15" w:rsidP="00CB4676">
            <w:pPr>
              <w:pStyle w:val="isselectedend"/>
              <w:rPr>
                <w:rFonts w:ascii="Century Gothic" w:hAnsi="Century Gothic"/>
                <w:sz w:val="22"/>
                <w:szCs w:val="22"/>
              </w:rPr>
            </w:pPr>
            <w:r w:rsidRPr="001019D3">
              <w:rPr>
                <w:rFonts w:ascii="Century Gothic" w:hAnsi="Century Gothic"/>
                <w:sz w:val="22"/>
                <w:szCs w:val="22"/>
              </w:rPr>
              <w:t>224</w:t>
            </w:r>
          </w:p>
        </w:tc>
      </w:tr>
      <w:tr w:rsidR="00010B15" w:rsidRPr="001019D3" w14:paraId="56F1E58C" w14:textId="77777777" w:rsidTr="00010B15">
        <w:tc>
          <w:tcPr>
            <w:tcW w:w="2348" w:type="dxa"/>
          </w:tcPr>
          <w:p w14:paraId="2A24DA4E" w14:textId="77777777" w:rsidR="00010B15" w:rsidRPr="001019D3" w:rsidRDefault="00010B15" w:rsidP="00CB4676">
            <w:pPr>
              <w:pStyle w:val="isselectedend"/>
              <w:rPr>
                <w:rFonts w:ascii="Century Gothic" w:hAnsi="Century Gothic"/>
                <w:sz w:val="22"/>
                <w:szCs w:val="22"/>
              </w:rPr>
            </w:pPr>
            <w:r w:rsidRPr="001019D3">
              <w:rPr>
                <w:rFonts w:ascii="Century Gothic" w:hAnsi="Century Gothic"/>
                <w:sz w:val="22"/>
                <w:szCs w:val="22"/>
              </w:rPr>
              <w:lastRenderedPageBreak/>
              <w:t>Cost</w:t>
            </w:r>
          </w:p>
        </w:tc>
        <w:tc>
          <w:tcPr>
            <w:tcW w:w="1329" w:type="dxa"/>
          </w:tcPr>
          <w:p w14:paraId="62D7BE0C" w14:textId="77777777" w:rsidR="00010B15" w:rsidRPr="001019D3" w:rsidRDefault="00010B15" w:rsidP="00CB4676">
            <w:pPr>
              <w:pStyle w:val="isselectedend"/>
              <w:rPr>
                <w:rFonts w:ascii="Century Gothic" w:hAnsi="Century Gothic"/>
                <w:sz w:val="22"/>
                <w:szCs w:val="22"/>
              </w:rPr>
            </w:pPr>
            <w:r w:rsidRPr="001019D3">
              <w:rPr>
                <w:rFonts w:ascii="Century Gothic" w:hAnsi="Century Gothic"/>
                <w:sz w:val="22"/>
                <w:szCs w:val="22"/>
              </w:rPr>
              <w:t>60</w:t>
            </w:r>
          </w:p>
        </w:tc>
        <w:tc>
          <w:tcPr>
            <w:tcW w:w="2235" w:type="dxa"/>
          </w:tcPr>
          <w:p w14:paraId="09A2B8CA" w14:textId="77777777" w:rsidR="00010B15" w:rsidRPr="001019D3" w:rsidRDefault="00010B15" w:rsidP="00CB4676">
            <w:pPr>
              <w:pStyle w:val="isselectedend"/>
              <w:rPr>
                <w:rFonts w:ascii="Century Gothic" w:hAnsi="Century Gothic"/>
                <w:sz w:val="22"/>
                <w:szCs w:val="22"/>
              </w:rPr>
            </w:pPr>
            <w:r w:rsidRPr="001019D3">
              <w:rPr>
                <w:rFonts w:ascii="Century Gothic" w:hAnsi="Century Gothic"/>
                <w:sz w:val="22"/>
                <w:szCs w:val="22"/>
              </w:rPr>
              <w:t>180</w:t>
            </w:r>
          </w:p>
        </w:tc>
        <w:tc>
          <w:tcPr>
            <w:tcW w:w="2059" w:type="dxa"/>
          </w:tcPr>
          <w:p w14:paraId="4297DC79" w14:textId="77777777" w:rsidR="00010B15" w:rsidRPr="001019D3" w:rsidRDefault="00010B15" w:rsidP="00CB4676">
            <w:pPr>
              <w:pStyle w:val="isselectedend"/>
              <w:rPr>
                <w:rFonts w:ascii="Century Gothic" w:hAnsi="Century Gothic"/>
                <w:sz w:val="22"/>
                <w:szCs w:val="22"/>
              </w:rPr>
            </w:pPr>
            <w:r w:rsidRPr="001019D3">
              <w:rPr>
                <w:rFonts w:ascii="Century Gothic" w:hAnsi="Century Gothic"/>
                <w:sz w:val="22"/>
                <w:szCs w:val="22"/>
              </w:rPr>
              <w:t>240</w:t>
            </w:r>
          </w:p>
        </w:tc>
      </w:tr>
      <w:tr w:rsidR="00010B15" w:rsidRPr="001019D3" w14:paraId="5E3585AB" w14:textId="77777777" w:rsidTr="00010B15">
        <w:tc>
          <w:tcPr>
            <w:tcW w:w="2348" w:type="dxa"/>
          </w:tcPr>
          <w:p w14:paraId="190012AA" w14:textId="77777777" w:rsidR="00010B15" w:rsidRPr="001019D3" w:rsidRDefault="00010B15" w:rsidP="00CB4676">
            <w:pPr>
              <w:pStyle w:val="isselectedend"/>
              <w:rPr>
                <w:rFonts w:ascii="Century Gothic" w:hAnsi="Century Gothic"/>
                <w:sz w:val="22"/>
                <w:szCs w:val="22"/>
              </w:rPr>
            </w:pPr>
            <w:r w:rsidRPr="001019D3">
              <w:rPr>
                <w:rFonts w:ascii="Century Gothic" w:hAnsi="Century Gothic"/>
                <w:sz w:val="22"/>
                <w:szCs w:val="22"/>
              </w:rPr>
              <w:t>Loss</w:t>
            </w:r>
          </w:p>
        </w:tc>
        <w:tc>
          <w:tcPr>
            <w:tcW w:w="1329" w:type="dxa"/>
          </w:tcPr>
          <w:p w14:paraId="32D8BF54" w14:textId="77777777" w:rsidR="00010B15" w:rsidRPr="001019D3" w:rsidRDefault="00010B15" w:rsidP="00CB4676">
            <w:pPr>
              <w:pStyle w:val="isselectedend"/>
              <w:rPr>
                <w:rFonts w:ascii="Century Gothic" w:hAnsi="Century Gothic"/>
                <w:sz w:val="22"/>
                <w:szCs w:val="22"/>
              </w:rPr>
            </w:pPr>
            <w:r w:rsidRPr="001019D3">
              <w:rPr>
                <w:rFonts w:ascii="Century Gothic" w:hAnsi="Century Gothic"/>
                <w:sz w:val="22"/>
                <w:szCs w:val="22"/>
              </w:rPr>
              <w:t>(4)</w:t>
            </w:r>
          </w:p>
        </w:tc>
        <w:tc>
          <w:tcPr>
            <w:tcW w:w="2235" w:type="dxa"/>
          </w:tcPr>
          <w:p w14:paraId="4030BC80" w14:textId="77777777" w:rsidR="00010B15" w:rsidRPr="001019D3" w:rsidRDefault="00010B15" w:rsidP="00CB4676">
            <w:pPr>
              <w:pStyle w:val="isselectedend"/>
              <w:rPr>
                <w:rFonts w:ascii="Century Gothic" w:hAnsi="Century Gothic"/>
                <w:sz w:val="22"/>
                <w:szCs w:val="22"/>
              </w:rPr>
            </w:pPr>
            <w:r w:rsidRPr="001019D3">
              <w:rPr>
                <w:rFonts w:ascii="Century Gothic" w:hAnsi="Century Gothic"/>
                <w:sz w:val="22"/>
                <w:szCs w:val="22"/>
              </w:rPr>
              <w:t>(12)</w:t>
            </w:r>
          </w:p>
        </w:tc>
        <w:tc>
          <w:tcPr>
            <w:tcW w:w="2059" w:type="dxa"/>
          </w:tcPr>
          <w:p w14:paraId="28BC632D" w14:textId="77777777" w:rsidR="00010B15" w:rsidRPr="001019D3" w:rsidRDefault="00010B15" w:rsidP="00CB4676">
            <w:pPr>
              <w:pStyle w:val="isselectedend"/>
              <w:rPr>
                <w:rFonts w:ascii="Century Gothic" w:hAnsi="Century Gothic"/>
                <w:sz w:val="22"/>
                <w:szCs w:val="22"/>
              </w:rPr>
            </w:pPr>
            <w:r w:rsidRPr="001019D3">
              <w:rPr>
                <w:rFonts w:ascii="Century Gothic" w:hAnsi="Century Gothic"/>
                <w:sz w:val="22"/>
                <w:szCs w:val="22"/>
              </w:rPr>
              <w:t>(16)</w:t>
            </w:r>
          </w:p>
        </w:tc>
      </w:tr>
      <w:tr w:rsidR="00010B15" w:rsidRPr="001019D3" w14:paraId="01FD9354" w14:textId="77777777" w:rsidTr="00010B15">
        <w:tc>
          <w:tcPr>
            <w:tcW w:w="2348" w:type="dxa"/>
          </w:tcPr>
          <w:p w14:paraId="4655E689" w14:textId="77777777" w:rsidR="00010B15" w:rsidRPr="001019D3" w:rsidRDefault="00010B15" w:rsidP="00CB4676">
            <w:pPr>
              <w:pStyle w:val="isselectedend"/>
              <w:rPr>
                <w:rFonts w:ascii="Century Gothic" w:hAnsi="Century Gothic"/>
                <w:sz w:val="22"/>
                <w:szCs w:val="22"/>
              </w:rPr>
            </w:pPr>
            <w:r w:rsidRPr="001019D3">
              <w:rPr>
                <w:rFonts w:ascii="Century Gothic" w:hAnsi="Century Gothic"/>
                <w:sz w:val="22"/>
                <w:szCs w:val="22"/>
              </w:rPr>
              <w:t>Provision required</w:t>
            </w:r>
          </w:p>
        </w:tc>
        <w:tc>
          <w:tcPr>
            <w:tcW w:w="1329" w:type="dxa"/>
          </w:tcPr>
          <w:p w14:paraId="6879E172" w14:textId="77777777" w:rsidR="00010B15" w:rsidRPr="001019D3" w:rsidRDefault="00010B15" w:rsidP="00CB4676">
            <w:pPr>
              <w:pStyle w:val="isselectedend"/>
              <w:rPr>
                <w:rFonts w:ascii="Century Gothic" w:hAnsi="Century Gothic"/>
                <w:sz w:val="22"/>
                <w:szCs w:val="22"/>
              </w:rPr>
            </w:pPr>
            <w:r w:rsidRPr="001019D3">
              <w:rPr>
                <w:rFonts w:ascii="Century Gothic" w:hAnsi="Century Gothic"/>
                <w:sz w:val="22"/>
                <w:szCs w:val="22"/>
              </w:rPr>
              <w:t>12</w:t>
            </w:r>
          </w:p>
        </w:tc>
        <w:tc>
          <w:tcPr>
            <w:tcW w:w="2235" w:type="dxa"/>
          </w:tcPr>
          <w:p w14:paraId="26CABDCA" w14:textId="77777777" w:rsidR="00010B15" w:rsidRPr="001019D3" w:rsidRDefault="00010B15" w:rsidP="00CB4676">
            <w:pPr>
              <w:pStyle w:val="isselectedend"/>
              <w:rPr>
                <w:rFonts w:ascii="Century Gothic" w:hAnsi="Century Gothic"/>
                <w:sz w:val="22"/>
                <w:szCs w:val="22"/>
              </w:rPr>
            </w:pPr>
          </w:p>
        </w:tc>
        <w:tc>
          <w:tcPr>
            <w:tcW w:w="2059" w:type="dxa"/>
          </w:tcPr>
          <w:p w14:paraId="4ADFAD06" w14:textId="77777777" w:rsidR="00010B15" w:rsidRPr="001019D3" w:rsidRDefault="00010B15" w:rsidP="00CB4676">
            <w:pPr>
              <w:pStyle w:val="isselectedend"/>
              <w:rPr>
                <w:rFonts w:ascii="Century Gothic" w:hAnsi="Century Gothic"/>
                <w:sz w:val="22"/>
                <w:szCs w:val="22"/>
              </w:rPr>
            </w:pPr>
          </w:p>
        </w:tc>
      </w:tr>
      <w:tr w:rsidR="00010B15" w:rsidRPr="001019D3" w14:paraId="77FD6A2D" w14:textId="77777777" w:rsidTr="00010B15">
        <w:tc>
          <w:tcPr>
            <w:tcW w:w="2348" w:type="dxa"/>
          </w:tcPr>
          <w:p w14:paraId="7809B050" w14:textId="77777777" w:rsidR="00010B15" w:rsidRPr="001019D3" w:rsidRDefault="00010B15" w:rsidP="00CB4676">
            <w:pPr>
              <w:pStyle w:val="isselectedend"/>
              <w:rPr>
                <w:rFonts w:ascii="Century Gothic" w:hAnsi="Century Gothic"/>
                <w:sz w:val="22"/>
                <w:szCs w:val="22"/>
              </w:rPr>
            </w:pPr>
            <w:r w:rsidRPr="001019D3">
              <w:rPr>
                <w:rFonts w:ascii="Century Gothic" w:hAnsi="Century Gothic"/>
                <w:sz w:val="22"/>
                <w:szCs w:val="22"/>
              </w:rPr>
              <w:t>Total Cost</w:t>
            </w:r>
          </w:p>
        </w:tc>
        <w:tc>
          <w:tcPr>
            <w:tcW w:w="1329" w:type="dxa"/>
          </w:tcPr>
          <w:p w14:paraId="26BDF31D" w14:textId="77777777" w:rsidR="00010B15" w:rsidRPr="001019D3" w:rsidRDefault="00010B15" w:rsidP="00CB4676">
            <w:pPr>
              <w:pStyle w:val="isselectedend"/>
              <w:rPr>
                <w:rFonts w:ascii="Century Gothic" w:hAnsi="Century Gothic"/>
                <w:sz w:val="22"/>
                <w:szCs w:val="22"/>
              </w:rPr>
            </w:pPr>
            <w:r w:rsidRPr="001019D3">
              <w:rPr>
                <w:rFonts w:ascii="Century Gothic" w:hAnsi="Century Gothic"/>
                <w:sz w:val="22"/>
                <w:szCs w:val="22"/>
              </w:rPr>
              <w:t>72</w:t>
            </w:r>
          </w:p>
        </w:tc>
        <w:tc>
          <w:tcPr>
            <w:tcW w:w="2235" w:type="dxa"/>
          </w:tcPr>
          <w:p w14:paraId="6024684A" w14:textId="77777777" w:rsidR="00010B15" w:rsidRPr="001019D3" w:rsidRDefault="00010B15" w:rsidP="00CB4676">
            <w:pPr>
              <w:pStyle w:val="isselectedend"/>
              <w:rPr>
                <w:rFonts w:ascii="Century Gothic" w:hAnsi="Century Gothic"/>
                <w:sz w:val="22"/>
                <w:szCs w:val="22"/>
              </w:rPr>
            </w:pPr>
          </w:p>
        </w:tc>
        <w:tc>
          <w:tcPr>
            <w:tcW w:w="2059" w:type="dxa"/>
          </w:tcPr>
          <w:p w14:paraId="6FC1C708" w14:textId="77777777" w:rsidR="00010B15" w:rsidRPr="001019D3" w:rsidRDefault="00010B15" w:rsidP="00CB4676">
            <w:pPr>
              <w:pStyle w:val="isselectedend"/>
              <w:rPr>
                <w:rFonts w:ascii="Century Gothic" w:hAnsi="Century Gothic"/>
                <w:sz w:val="22"/>
                <w:szCs w:val="22"/>
              </w:rPr>
            </w:pPr>
          </w:p>
        </w:tc>
      </w:tr>
    </w:tbl>
    <w:p w14:paraId="66DC0BFF" w14:textId="77777777" w:rsidR="00010B15" w:rsidRPr="001019D3" w:rsidRDefault="00010B15" w:rsidP="00AD223F">
      <w:pPr>
        <w:pStyle w:val="isselectedend"/>
        <w:rPr>
          <w:rFonts w:ascii="Century Gothic" w:hAnsi="Century Gothic"/>
          <w:sz w:val="22"/>
          <w:szCs w:val="22"/>
        </w:rPr>
      </w:pPr>
    </w:p>
    <w:p w14:paraId="73EEA7C2" w14:textId="48BC0863" w:rsidR="00AD223F" w:rsidRPr="001019D3" w:rsidRDefault="00AD223F" w:rsidP="00AD223F">
      <w:pPr>
        <w:pStyle w:val="isselectedend"/>
        <w:rPr>
          <w:rFonts w:ascii="Century Gothic" w:hAnsi="Century Gothic"/>
          <w:sz w:val="22"/>
          <w:szCs w:val="22"/>
        </w:rPr>
      </w:pPr>
      <w:r w:rsidRPr="001019D3">
        <w:rPr>
          <w:rFonts w:ascii="Century Gothic" w:hAnsi="Century Gothic"/>
          <w:sz w:val="22"/>
          <w:szCs w:val="22"/>
        </w:rPr>
        <w:t xml:space="preserve">However, the options provided indicate total expenses of </w:t>
      </w:r>
      <w:r w:rsidRPr="001019D3">
        <w:rPr>
          <w:rStyle w:val="Strong"/>
          <w:rFonts w:ascii="Arial" w:eastAsiaTheme="majorEastAsia" w:hAnsi="Arial" w:cs="Arial"/>
          <w:b w:val="0"/>
          <w:bCs w:val="0"/>
          <w:sz w:val="22"/>
          <w:szCs w:val="22"/>
        </w:rPr>
        <w:t>₹</w:t>
      </w:r>
      <w:r w:rsidRPr="001019D3">
        <w:rPr>
          <w:rStyle w:val="Strong"/>
          <w:rFonts w:ascii="Century Gothic" w:eastAsiaTheme="majorEastAsia" w:hAnsi="Century Gothic"/>
          <w:b w:val="0"/>
          <w:bCs w:val="0"/>
          <w:sz w:val="22"/>
          <w:szCs w:val="22"/>
        </w:rPr>
        <w:t>76 lakhs</w:t>
      </w:r>
      <w:r w:rsidRPr="001019D3">
        <w:rPr>
          <w:rFonts w:ascii="Century Gothic" w:hAnsi="Century Gothic"/>
          <w:sz w:val="22"/>
          <w:szCs w:val="22"/>
        </w:rPr>
        <w:t xml:space="preserve">, resulting in a loss of </w:t>
      </w:r>
      <w:r w:rsidRPr="001019D3">
        <w:rPr>
          <w:rStyle w:val="Strong"/>
          <w:rFonts w:ascii="Arial" w:eastAsiaTheme="majorEastAsia" w:hAnsi="Arial" w:cs="Arial"/>
          <w:b w:val="0"/>
          <w:bCs w:val="0"/>
          <w:sz w:val="22"/>
          <w:szCs w:val="22"/>
        </w:rPr>
        <w:t>₹</w:t>
      </w:r>
      <w:r w:rsidRPr="001019D3">
        <w:rPr>
          <w:rStyle w:val="Strong"/>
          <w:rFonts w:ascii="Century Gothic" w:eastAsiaTheme="majorEastAsia" w:hAnsi="Century Gothic"/>
          <w:b w:val="0"/>
          <w:bCs w:val="0"/>
          <w:sz w:val="22"/>
          <w:szCs w:val="22"/>
        </w:rPr>
        <w:t>20 lakhs</w:t>
      </w:r>
      <w:r w:rsidRPr="001019D3">
        <w:rPr>
          <w:rFonts w:ascii="Century Gothic" w:hAnsi="Century Gothic"/>
          <w:sz w:val="22"/>
          <w:szCs w:val="22"/>
        </w:rPr>
        <w:t xml:space="preserve">, which exceeds the total expected loss. It is pertinent to note that </w:t>
      </w:r>
      <w:r w:rsidRPr="001019D3">
        <w:rPr>
          <w:rStyle w:val="Strong"/>
          <w:rFonts w:ascii="Century Gothic" w:eastAsiaTheme="majorEastAsia" w:hAnsi="Century Gothic"/>
          <w:b w:val="0"/>
          <w:bCs w:val="0"/>
          <w:sz w:val="22"/>
          <w:szCs w:val="22"/>
        </w:rPr>
        <w:t>total expected loss already includes current year loss</w:t>
      </w:r>
      <w:r w:rsidRPr="001019D3">
        <w:rPr>
          <w:rFonts w:ascii="Century Gothic" w:hAnsi="Century Gothic"/>
          <w:sz w:val="22"/>
          <w:szCs w:val="22"/>
        </w:rPr>
        <w:t xml:space="preserve">, and recognising a higher loss is </w:t>
      </w:r>
      <w:r w:rsidR="00345B19">
        <w:rPr>
          <w:rFonts w:ascii="Century Gothic" w:hAnsi="Century Gothic"/>
          <w:sz w:val="22"/>
          <w:szCs w:val="22"/>
        </w:rPr>
        <w:t xml:space="preserve">not possible. </w:t>
      </w:r>
    </w:p>
    <w:p w14:paraId="26140B6E" w14:textId="77777777" w:rsidR="00F85F2B" w:rsidRPr="001019D3" w:rsidRDefault="00F85F2B" w:rsidP="00AD223F">
      <w:pPr>
        <w:pStyle w:val="isselectedend"/>
        <w:rPr>
          <w:rFonts w:ascii="Century Gothic" w:hAnsi="Century Gothic"/>
          <w:sz w:val="22"/>
          <w:szCs w:val="22"/>
        </w:rPr>
      </w:pPr>
    </w:p>
    <w:p w14:paraId="088850CE" w14:textId="73355156" w:rsidR="00AD223F" w:rsidRPr="001019D3" w:rsidRDefault="00AD223F" w:rsidP="00AD223F">
      <w:pPr>
        <w:pStyle w:val="isselectedend"/>
        <w:rPr>
          <w:rFonts w:ascii="Century Gothic" w:hAnsi="Century Gothic"/>
          <w:sz w:val="22"/>
          <w:szCs w:val="22"/>
        </w:rPr>
      </w:pPr>
      <w:r w:rsidRPr="001019D3">
        <w:rPr>
          <w:rFonts w:ascii="Century Gothic" w:hAnsi="Century Gothic"/>
          <w:sz w:val="22"/>
          <w:szCs w:val="22"/>
        </w:rPr>
        <w:t xml:space="preserve">We request your good self to kindly consider above inconsistencies while evaluating the answers. </w:t>
      </w:r>
    </w:p>
    <w:p w14:paraId="7090B6C4" w14:textId="77777777" w:rsidR="00AD223F" w:rsidRPr="001019D3" w:rsidRDefault="00AD223F" w:rsidP="00AD223F">
      <w:pPr>
        <w:pStyle w:val="isselectedend"/>
        <w:rPr>
          <w:rFonts w:ascii="Century Gothic" w:hAnsi="Century Gothic"/>
          <w:sz w:val="22"/>
          <w:szCs w:val="22"/>
        </w:rPr>
      </w:pPr>
      <w:r w:rsidRPr="001019D3">
        <w:rPr>
          <w:rFonts w:ascii="Century Gothic" w:hAnsi="Century Gothic"/>
          <w:sz w:val="22"/>
          <w:szCs w:val="22"/>
        </w:rPr>
        <w:t>Thanking you.</w:t>
      </w:r>
    </w:p>
    <w:p w14:paraId="7AC0656D" w14:textId="77777777" w:rsidR="00AD223F" w:rsidRPr="001019D3" w:rsidRDefault="00AD223F" w:rsidP="00AD223F">
      <w:pPr>
        <w:pStyle w:val="NormalWeb"/>
        <w:rPr>
          <w:rFonts w:ascii="Century Gothic" w:hAnsi="Century Gothic"/>
          <w:sz w:val="22"/>
          <w:szCs w:val="22"/>
        </w:rPr>
      </w:pPr>
      <w:r w:rsidRPr="001019D3">
        <w:rPr>
          <w:rFonts w:ascii="Century Gothic" w:hAnsi="Century Gothic"/>
          <w:sz w:val="22"/>
          <w:szCs w:val="22"/>
        </w:rPr>
        <w:t>Yours faithfully,</w:t>
      </w:r>
      <w:r w:rsidRPr="001019D3">
        <w:rPr>
          <w:rFonts w:ascii="Century Gothic" w:hAnsi="Century Gothic"/>
          <w:sz w:val="22"/>
          <w:szCs w:val="22"/>
        </w:rPr>
        <w:br/>
      </w:r>
      <w:r w:rsidRPr="001019D3">
        <w:rPr>
          <w:rStyle w:val="text-token-text-primary"/>
          <w:rFonts w:ascii="Century Gothic" w:eastAsiaTheme="majorEastAsia" w:hAnsi="Century Gothic"/>
          <w:sz w:val="22"/>
          <w:szCs w:val="22"/>
        </w:rPr>
        <w:t>[Name]</w:t>
      </w:r>
      <w:r w:rsidRPr="001019D3">
        <w:rPr>
          <w:rFonts w:ascii="Century Gothic" w:hAnsi="Century Gothic"/>
          <w:sz w:val="22"/>
          <w:szCs w:val="22"/>
        </w:rPr>
        <w:br/>
      </w:r>
      <w:r w:rsidRPr="001019D3">
        <w:rPr>
          <w:rStyle w:val="text-token-text-primary"/>
          <w:rFonts w:ascii="Century Gothic" w:eastAsiaTheme="majorEastAsia" w:hAnsi="Century Gothic"/>
          <w:sz w:val="22"/>
          <w:szCs w:val="22"/>
        </w:rPr>
        <w:t>[Registration No.]</w:t>
      </w:r>
      <w:r w:rsidRPr="001019D3">
        <w:rPr>
          <w:rFonts w:ascii="Century Gothic" w:hAnsi="Century Gothic"/>
          <w:sz w:val="22"/>
          <w:szCs w:val="22"/>
        </w:rPr>
        <w:br/>
      </w:r>
      <w:r w:rsidRPr="001019D3">
        <w:rPr>
          <w:rStyle w:val="text-token-text-primary"/>
          <w:rFonts w:ascii="Century Gothic" w:eastAsiaTheme="majorEastAsia" w:hAnsi="Century Gothic"/>
          <w:sz w:val="22"/>
          <w:szCs w:val="22"/>
        </w:rPr>
        <w:t>[Course / Attempt]</w:t>
      </w:r>
    </w:p>
    <w:p w14:paraId="2B45080A" w14:textId="77777777" w:rsidR="00AD223F" w:rsidRPr="001019D3" w:rsidRDefault="00AD223F">
      <w:pPr>
        <w:rPr>
          <w:rFonts w:ascii="Century Gothic" w:hAnsi="Century Gothic"/>
          <w:sz w:val="22"/>
          <w:szCs w:val="22"/>
        </w:rPr>
      </w:pPr>
    </w:p>
    <w:sectPr w:rsidR="00AD223F" w:rsidRPr="001019D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Mangal">
    <w:panose1 w:val="02040503050203030202"/>
    <w:charset w:val="01"/>
    <w:family w:val="roman"/>
    <w:pitch w:val="variable"/>
    <w:sig w:usb0="0000A003" w:usb1="00000000" w:usb2="00000000" w:usb3="00000000" w:csb0="00000001" w:csb1="00000000"/>
  </w:font>
  <w:font w:name="Aptos Display">
    <w:panose1 w:val="020B0004020202020204"/>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A1C0CB1"/>
    <w:multiLevelType w:val="multilevel"/>
    <w:tmpl w:val="300CA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77710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223F"/>
    <w:rsid w:val="00010B15"/>
    <w:rsid w:val="000D2525"/>
    <w:rsid w:val="001019D3"/>
    <w:rsid w:val="00345B19"/>
    <w:rsid w:val="0051333D"/>
    <w:rsid w:val="00924C31"/>
    <w:rsid w:val="00A46034"/>
    <w:rsid w:val="00A627E2"/>
    <w:rsid w:val="00A6415C"/>
    <w:rsid w:val="00AD223F"/>
    <w:rsid w:val="00CF021A"/>
    <w:rsid w:val="00EA39F4"/>
    <w:rsid w:val="00F85F2B"/>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CD1709"/>
  <w15:chartTrackingRefBased/>
  <w15:docId w15:val="{7AF96451-0EE4-7943-B9A1-CC5B5DDFF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1"/>
        <w:lang w:val="en-IN" w:eastAsia="en-US" w:bidi="hi-IN"/>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Mangal"/>
    </w:rPr>
  </w:style>
  <w:style w:type="paragraph" w:styleId="Heading1">
    <w:name w:val="heading 1"/>
    <w:basedOn w:val="Normal"/>
    <w:next w:val="Normal"/>
    <w:link w:val="Heading1Char"/>
    <w:uiPriority w:val="9"/>
    <w:qFormat/>
    <w:rsid w:val="00AD223F"/>
    <w:pPr>
      <w:keepNext/>
      <w:keepLines/>
      <w:spacing w:before="360" w:after="80"/>
      <w:outlineLvl w:val="0"/>
    </w:pPr>
    <w:rPr>
      <w:rFonts w:asciiTheme="majorHAnsi" w:eastAsiaTheme="majorEastAsia" w:hAnsiTheme="majorHAnsi" w:cstheme="majorBidi"/>
      <w:color w:val="0F4761" w:themeColor="accent1" w:themeShade="BF"/>
      <w:sz w:val="40"/>
      <w:szCs w:val="36"/>
    </w:rPr>
  </w:style>
  <w:style w:type="paragraph" w:styleId="Heading2">
    <w:name w:val="heading 2"/>
    <w:basedOn w:val="Normal"/>
    <w:next w:val="Normal"/>
    <w:link w:val="Heading2Char"/>
    <w:uiPriority w:val="9"/>
    <w:semiHidden/>
    <w:unhideWhenUsed/>
    <w:qFormat/>
    <w:rsid w:val="00AD223F"/>
    <w:pPr>
      <w:keepNext/>
      <w:keepLines/>
      <w:spacing w:before="160" w:after="80"/>
      <w:outlineLvl w:val="1"/>
    </w:pPr>
    <w:rPr>
      <w:rFonts w:asciiTheme="majorHAnsi" w:eastAsiaTheme="majorEastAsia" w:hAnsiTheme="majorHAnsi" w:cstheme="majorBidi"/>
      <w:color w:val="0F4761" w:themeColor="accent1" w:themeShade="BF"/>
      <w:sz w:val="32"/>
      <w:szCs w:val="29"/>
    </w:rPr>
  </w:style>
  <w:style w:type="paragraph" w:styleId="Heading3">
    <w:name w:val="heading 3"/>
    <w:basedOn w:val="Normal"/>
    <w:next w:val="Normal"/>
    <w:link w:val="Heading3Char"/>
    <w:uiPriority w:val="9"/>
    <w:semiHidden/>
    <w:unhideWhenUsed/>
    <w:qFormat/>
    <w:rsid w:val="00AD223F"/>
    <w:pPr>
      <w:keepNext/>
      <w:keepLines/>
      <w:spacing w:before="160" w:after="80"/>
      <w:outlineLvl w:val="2"/>
    </w:pPr>
    <w:rPr>
      <w:rFonts w:eastAsiaTheme="majorEastAsia" w:cstheme="majorBidi"/>
      <w:color w:val="0F4761" w:themeColor="accent1" w:themeShade="BF"/>
      <w:sz w:val="28"/>
      <w:szCs w:val="25"/>
    </w:rPr>
  </w:style>
  <w:style w:type="paragraph" w:styleId="Heading4">
    <w:name w:val="heading 4"/>
    <w:basedOn w:val="Normal"/>
    <w:next w:val="Normal"/>
    <w:link w:val="Heading4Char"/>
    <w:uiPriority w:val="9"/>
    <w:semiHidden/>
    <w:unhideWhenUsed/>
    <w:qFormat/>
    <w:rsid w:val="00AD223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D223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D223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D223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D223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D223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223F"/>
    <w:rPr>
      <w:rFonts w:asciiTheme="majorHAnsi" w:eastAsiaTheme="majorEastAsia" w:hAnsiTheme="majorHAnsi" w:cstheme="majorBidi"/>
      <w:color w:val="0F4761" w:themeColor="accent1" w:themeShade="BF"/>
      <w:sz w:val="40"/>
      <w:szCs w:val="36"/>
    </w:rPr>
  </w:style>
  <w:style w:type="character" w:customStyle="1" w:styleId="Heading2Char">
    <w:name w:val="Heading 2 Char"/>
    <w:basedOn w:val="DefaultParagraphFont"/>
    <w:link w:val="Heading2"/>
    <w:uiPriority w:val="9"/>
    <w:semiHidden/>
    <w:rsid w:val="00AD223F"/>
    <w:rPr>
      <w:rFonts w:asciiTheme="majorHAnsi" w:eastAsiaTheme="majorEastAsia" w:hAnsiTheme="majorHAnsi" w:cstheme="majorBidi"/>
      <w:color w:val="0F4761" w:themeColor="accent1" w:themeShade="BF"/>
      <w:sz w:val="32"/>
      <w:szCs w:val="29"/>
    </w:rPr>
  </w:style>
  <w:style w:type="character" w:customStyle="1" w:styleId="Heading3Char">
    <w:name w:val="Heading 3 Char"/>
    <w:basedOn w:val="DefaultParagraphFont"/>
    <w:link w:val="Heading3"/>
    <w:uiPriority w:val="9"/>
    <w:semiHidden/>
    <w:rsid w:val="00AD223F"/>
    <w:rPr>
      <w:rFonts w:eastAsiaTheme="majorEastAsia" w:cstheme="majorBidi"/>
      <w:color w:val="0F4761" w:themeColor="accent1" w:themeShade="BF"/>
      <w:sz w:val="28"/>
      <w:szCs w:val="25"/>
    </w:rPr>
  </w:style>
  <w:style w:type="character" w:customStyle="1" w:styleId="Heading4Char">
    <w:name w:val="Heading 4 Char"/>
    <w:basedOn w:val="DefaultParagraphFont"/>
    <w:link w:val="Heading4"/>
    <w:uiPriority w:val="9"/>
    <w:semiHidden/>
    <w:rsid w:val="00AD223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D223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D223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D223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D223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D223F"/>
    <w:rPr>
      <w:rFonts w:eastAsiaTheme="majorEastAsia" w:cstheme="majorBidi"/>
      <w:color w:val="272727" w:themeColor="text1" w:themeTint="D8"/>
    </w:rPr>
  </w:style>
  <w:style w:type="paragraph" w:styleId="Title">
    <w:name w:val="Title"/>
    <w:basedOn w:val="Normal"/>
    <w:next w:val="Normal"/>
    <w:link w:val="TitleChar"/>
    <w:uiPriority w:val="10"/>
    <w:qFormat/>
    <w:rsid w:val="00AD223F"/>
    <w:pPr>
      <w:spacing w:after="80" w:line="240" w:lineRule="auto"/>
      <w:contextualSpacing/>
    </w:pPr>
    <w:rPr>
      <w:rFonts w:asciiTheme="majorHAnsi" w:eastAsiaTheme="majorEastAsia" w:hAnsiTheme="majorHAnsi" w:cstheme="majorBidi"/>
      <w:spacing w:val="-10"/>
      <w:kern w:val="28"/>
      <w:sz w:val="56"/>
      <w:szCs w:val="50"/>
    </w:rPr>
  </w:style>
  <w:style w:type="character" w:customStyle="1" w:styleId="TitleChar">
    <w:name w:val="Title Char"/>
    <w:basedOn w:val="DefaultParagraphFont"/>
    <w:link w:val="Title"/>
    <w:uiPriority w:val="10"/>
    <w:rsid w:val="00AD223F"/>
    <w:rPr>
      <w:rFonts w:asciiTheme="majorHAnsi" w:eastAsiaTheme="majorEastAsia" w:hAnsiTheme="majorHAnsi" w:cstheme="majorBidi"/>
      <w:spacing w:val="-10"/>
      <w:kern w:val="28"/>
      <w:sz w:val="56"/>
      <w:szCs w:val="50"/>
    </w:rPr>
  </w:style>
  <w:style w:type="paragraph" w:styleId="Subtitle">
    <w:name w:val="Subtitle"/>
    <w:basedOn w:val="Normal"/>
    <w:next w:val="Normal"/>
    <w:link w:val="SubtitleChar"/>
    <w:uiPriority w:val="11"/>
    <w:qFormat/>
    <w:rsid w:val="00AD223F"/>
    <w:pPr>
      <w:numPr>
        <w:ilvl w:val="1"/>
      </w:numPr>
    </w:pPr>
    <w:rPr>
      <w:rFonts w:eastAsiaTheme="majorEastAsia" w:cstheme="majorBidi"/>
      <w:color w:val="595959" w:themeColor="text1" w:themeTint="A6"/>
      <w:spacing w:val="15"/>
      <w:sz w:val="28"/>
      <w:szCs w:val="25"/>
    </w:rPr>
  </w:style>
  <w:style w:type="character" w:customStyle="1" w:styleId="SubtitleChar">
    <w:name w:val="Subtitle Char"/>
    <w:basedOn w:val="DefaultParagraphFont"/>
    <w:link w:val="Subtitle"/>
    <w:uiPriority w:val="11"/>
    <w:rsid w:val="00AD223F"/>
    <w:rPr>
      <w:rFonts w:eastAsiaTheme="majorEastAsia" w:cstheme="majorBidi"/>
      <w:color w:val="595959" w:themeColor="text1" w:themeTint="A6"/>
      <w:spacing w:val="15"/>
      <w:sz w:val="28"/>
      <w:szCs w:val="25"/>
    </w:rPr>
  </w:style>
  <w:style w:type="paragraph" w:styleId="Quote">
    <w:name w:val="Quote"/>
    <w:basedOn w:val="Normal"/>
    <w:next w:val="Normal"/>
    <w:link w:val="QuoteChar"/>
    <w:uiPriority w:val="29"/>
    <w:qFormat/>
    <w:rsid w:val="00AD223F"/>
    <w:pPr>
      <w:spacing w:before="160"/>
      <w:jc w:val="center"/>
    </w:pPr>
    <w:rPr>
      <w:i/>
      <w:iCs/>
      <w:color w:val="404040" w:themeColor="text1" w:themeTint="BF"/>
    </w:rPr>
  </w:style>
  <w:style w:type="character" w:customStyle="1" w:styleId="QuoteChar">
    <w:name w:val="Quote Char"/>
    <w:basedOn w:val="DefaultParagraphFont"/>
    <w:link w:val="Quote"/>
    <w:uiPriority w:val="29"/>
    <w:rsid w:val="00AD223F"/>
    <w:rPr>
      <w:rFonts w:cs="Mangal"/>
      <w:i/>
      <w:iCs/>
      <w:color w:val="404040" w:themeColor="text1" w:themeTint="BF"/>
    </w:rPr>
  </w:style>
  <w:style w:type="paragraph" w:styleId="ListParagraph">
    <w:name w:val="List Paragraph"/>
    <w:basedOn w:val="Normal"/>
    <w:uiPriority w:val="34"/>
    <w:qFormat/>
    <w:rsid w:val="00AD223F"/>
    <w:pPr>
      <w:ind w:left="720"/>
      <w:contextualSpacing/>
    </w:pPr>
  </w:style>
  <w:style w:type="character" w:styleId="IntenseEmphasis">
    <w:name w:val="Intense Emphasis"/>
    <w:basedOn w:val="DefaultParagraphFont"/>
    <w:uiPriority w:val="21"/>
    <w:qFormat/>
    <w:rsid w:val="00AD223F"/>
    <w:rPr>
      <w:i/>
      <w:iCs/>
      <w:color w:val="0F4761" w:themeColor="accent1" w:themeShade="BF"/>
    </w:rPr>
  </w:style>
  <w:style w:type="paragraph" w:styleId="IntenseQuote">
    <w:name w:val="Intense Quote"/>
    <w:basedOn w:val="Normal"/>
    <w:next w:val="Normal"/>
    <w:link w:val="IntenseQuoteChar"/>
    <w:uiPriority w:val="30"/>
    <w:qFormat/>
    <w:rsid w:val="00AD223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D223F"/>
    <w:rPr>
      <w:rFonts w:cs="Mangal"/>
      <w:i/>
      <w:iCs/>
      <w:color w:val="0F4761" w:themeColor="accent1" w:themeShade="BF"/>
    </w:rPr>
  </w:style>
  <w:style w:type="character" w:styleId="IntenseReference">
    <w:name w:val="Intense Reference"/>
    <w:basedOn w:val="DefaultParagraphFont"/>
    <w:uiPriority w:val="32"/>
    <w:qFormat/>
    <w:rsid w:val="00AD223F"/>
    <w:rPr>
      <w:b/>
      <w:bCs/>
      <w:smallCaps/>
      <w:color w:val="0F4761" w:themeColor="accent1" w:themeShade="BF"/>
      <w:spacing w:val="5"/>
    </w:rPr>
  </w:style>
  <w:style w:type="paragraph" w:customStyle="1" w:styleId="isselectedend">
    <w:name w:val="isselectedend"/>
    <w:basedOn w:val="Normal"/>
    <w:rsid w:val="00AD223F"/>
    <w:pPr>
      <w:spacing w:before="100" w:beforeAutospacing="1" w:after="100" w:afterAutospacing="1" w:line="240" w:lineRule="auto"/>
    </w:pPr>
    <w:rPr>
      <w:rFonts w:ascii="Times New Roman" w:eastAsia="Times New Roman" w:hAnsi="Times New Roman" w:cs="Times New Roman"/>
      <w:kern w:val="0"/>
      <w:szCs w:val="24"/>
      <w:lang w:eastAsia="en-GB"/>
      <w14:ligatures w14:val="none"/>
    </w:rPr>
  </w:style>
  <w:style w:type="character" w:styleId="Strong">
    <w:name w:val="Strong"/>
    <w:basedOn w:val="DefaultParagraphFont"/>
    <w:uiPriority w:val="22"/>
    <w:qFormat/>
    <w:rsid w:val="00AD223F"/>
    <w:rPr>
      <w:b/>
      <w:bCs/>
    </w:rPr>
  </w:style>
  <w:style w:type="character" w:styleId="Emphasis">
    <w:name w:val="Emphasis"/>
    <w:basedOn w:val="DefaultParagraphFont"/>
    <w:uiPriority w:val="20"/>
    <w:qFormat/>
    <w:rsid w:val="00AD223F"/>
    <w:rPr>
      <w:i/>
      <w:iCs/>
    </w:rPr>
  </w:style>
  <w:style w:type="paragraph" w:styleId="NormalWeb">
    <w:name w:val="Normal (Web)"/>
    <w:basedOn w:val="Normal"/>
    <w:uiPriority w:val="99"/>
    <w:semiHidden/>
    <w:unhideWhenUsed/>
    <w:rsid w:val="00AD223F"/>
    <w:pPr>
      <w:spacing w:before="100" w:beforeAutospacing="1" w:after="100" w:afterAutospacing="1" w:line="240" w:lineRule="auto"/>
    </w:pPr>
    <w:rPr>
      <w:rFonts w:ascii="Times New Roman" w:eastAsia="Times New Roman" w:hAnsi="Times New Roman" w:cs="Times New Roman"/>
      <w:kern w:val="0"/>
      <w:szCs w:val="24"/>
      <w:lang w:eastAsia="en-GB"/>
      <w14:ligatures w14:val="none"/>
    </w:rPr>
  </w:style>
  <w:style w:type="character" w:customStyle="1" w:styleId="text-token-text-primary">
    <w:name w:val="text-token-text-primary"/>
    <w:basedOn w:val="DefaultParagraphFont"/>
    <w:rsid w:val="00AD223F"/>
  </w:style>
  <w:style w:type="table" w:styleId="TableGrid">
    <w:name w:val="Table Grid"/>
    <w:basedOn w:val="TableNormal"/>
    <w:uiPriority w:val="39"/>
    <w:rsid w:val="00F85F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445</Words>
  <Characters>2351</Characters>
  <Application>Microsoft Office Word</Application>
  <DocSecurity>0</DocSecurity>
  <Lines>75</Lines>
  <Paragraphs>46</Paragraphs>
  <ScaleCrop>false</ScaleCrop>
  <Company/>
  <LinksUpToDate>false</LinksUpToDate>
  <CharactersWithSpaces>2750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Suraj Lakhotia</dc:creator>
  <cp:keywords/>
  <dc:description/>
  <cp:lastModifiedBy>Suraj Lakhotia</cp:lastModifiedBy>
  <cp:revision>11</cp:revision>
  <dcterms:created xsi:type="dcterms:W3CDTF">2026-01-16T11:02:00Z</dcterms:created>
  <dcterms:modified xsi:type="dcterms:W3CDTF">2026-01-22T05:21:00Z</dcterms:modified>
</cp:coreProperties>
</file>